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2EE30EA" w:rsidR="00980713" w:rsidRDefault="00980713" w:rsidP="00980713">
      <w:pPr>
        <w:spacing w:line="360" w:lineRule="auto"/>
      </w:pPr>
      <w:r>
        <w:t>MATERIA:</w:t>
      </w:r>
      <w:r w:rsidR="004C6144">
        <w:t xml:space="preserve"> DISCIPLINE SANITARIE (ANATOMIA, FISIOPATOLOGIA OCULARE E IGIENE)</w:t>
      </w:r>
      <w:r>
        <w:t xml:space="preserve"> (ore settimanali: </w:t>
      </w:r>
      <w:r w:rsidR="004C6144">
        <w:t>5</w:t>
      </w:r>
      <w:r>
        <w:t>).</w:t>
      </w:r>
    </w:p>
    <w:p w14:paraId="15B9909B" w14:textId="404584B6" w:rsidR="00980713" w:rsidRDefault="00980713" w:rsidP="00980713">
      <w:pPr>
        <w:spacing w:line="360" w:lineRule="auto"/>
      </w:pPr>
      <w:r>
        <w:t>CLASSE:</w:t>
      </w:r>
      <w:r w:rsidR="000D7883">
        <w:t xml:space="preserve"> </w:t>
      </w:r>
      <w:r w:rsidR="004C6144">
        <w:t xml:space="preserve">V </w:t>
      </w:r>
      <w:r w:rsidR="00C94B96">
        <w:t>A</w:t>
      </w:r>
      <w:r w:rsidR="003F667C">
        <w:t xml:space="preserve"> </w:t>
      </w:r>
      <w:r w:rsidR="004C6144">
        <w:t>OTTICO</w:t>
      </w:r>
    </w:p>
    <w:p w14:paraId="0AED4A00" w14:textId="2BD8A0F6" w:rsidR="00980713" w:rsidRDefault="00980713" w:rsidP="00980713">
      <w:pPr>
        <w:spacing w:line="360" w:lineRule="auto"/>
      </w:pPr>
      <w:r>
        <w:t>ANNO SCOLASTICO</w:t>
      </w:r>
      <w:r w:rsidR="004C6144">
        <w:t>: 202</w:t>
      </w:r>
      <w:r w:rsidR="0018586A">
        <w:t>2</w:t>
      </w:r>
      <w:r w:rsidR="004C6144">
        <w:t>/202</w:t>
      </w:r>
      <w:r w:rsidR="0018586A">
        <w:t>3</w:t>
      </w:r>
    </w:p>
    <w:p w14:paraId="4C3CA49C" w14:textId="0C1CCCA6" w:rsidR="00980713" w:rsidRDefault="00980713" w:rsidP="00980713">
      <w:pPr>
        <w:spacing w:line="360" w:lineRule="auto"/>
      </w:pPr>
      <w:r>
        <w:t>DOCENT</w:t>
      </w:r>
      <w:r w:rsidR="004C6144">
        <w:t>I</w:t>
      </w:r>
      <w:r>
        <w:t xml:space="preserve">: </w:t>
      </w:r>
      <w:r w:rsidR="004C6144">
        <w:t xml:space="preserve">PAPA </w:t>
      </w:r>
      <w:proofErr w:type="gramStart"/>
      <w:r w:rsidR="004C6144">
        <w:t xml:space="preserve">GABRIELLA, </w:t>
      </w:r>
      <w:r w:rsidR="00B84D61">
        <w:t xml:space="preserve"> doc</w:t>
      </w:r>
      <w:proofErr w:type="gramEnd"/>
      <w:r w:rsidR="00B84D61">
        <w:t xml:space="preserve"> in compresenza </w:t>
      </w:r>
      <w:r w:rsidR="0018586A">
        <w:t>STEFANIA DE LEONARDIS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4B828FD2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4C6144">
        <w:t xml:space="preserve"> MANUALE DI OFTALMOLOGIA</w:t>
      </w:r>
      <w:r w:rsidR="000D7883">
        <w:t xml:space="preserve"> (LIUZZI, BARTOLI, E</w:t>
      </w:r>
      <w:r w:rsidR="0002622C">
        <w:t>D. MINERVA).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631C46FC" w:rsidR="00980713" w:rsidRDefault="00980713" w:rsidP="00980713">
      <w:r>
        <w:t>Argomenti:</w:t>
      </w:r>
    </w:p>
    <w:p w14:paraId="13789560" w14:textId="77777777" w:rsidR="00980713" w:rsidRDefault="00980713" w:rsidP="00980713"/>
    <w:p w14:paraId="62C706E5" w14:textId="0456FD2D" w:rsidR="00EE2597" w:rsidRPr="007505F9" w:rsidRDefault="007505F9" w:rsidP="007505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505F9">
        <w:rPr>
          <w:rFonts w:eastAsiaTheme="minorHAnsi"/>
          <w:sz w:val="24"/>
          <w:szCs w:val="24"/>
          <w:lang w:eastAsia="en-US"/>
        </w:rPr>
        <w:t xml:space="preserve">1 </w:t>
      </w:r>
      <w:r w:rsidRPr="007505F9">
        <w:rPr>
          <w:b/>
          <w:color w:val="000000"/>
          <w:sz w:val="24"/>
          <w:szCs w:val="24"/>
        </w:rPr>
        <w:t>Unità didattica</w:t>
      </w:r>
      <w:r w:rsidR="00EE2597" w:rsidRPr="007505F9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  <w:r w:rsidR="0018586A">
        <w:rPr>
          <w:rFonts w:eastAsiaTheme="minorHAnsi"/>
          <w:b/>
          <w:bCs/>
          <w:sz w:val="24"/>
          <w:szCs w:val="24"/>
          <w:lang w:eastAsia="en-US"/>
        </w:rPr>
        <w:t xml:space="preserve">RIPETIZIONE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APPARATO DELLA VISTA </w:t>
      </w:r>
      <w:r w:rsidR="00EE2597" w:rsidRPr="007505F9">
        <w:rPr>
          <w:rFonts w:eastAsiaTheme="minorHAnsi"/>
          <w:b/>
          <w:bCs/>
          <w:sz w:val="24"/>
          <w:szCs w:val="24"/>
          <w:lang w:eastAsia="en-US"/>
        </w:rPr>
        <w:t>(Elementi di anatomia macroscopica</w:t>
      </w:r>
      <w:r w:rsidR="0018586A">
        <w:rPr>
          <w:rFonts w:eastAsiaTheme="minorHAnsi"/>
          <w:b/>
          <w:bCs/>
          <w:sz w:val="24"/>
          <w:szCs w:val="24"/>
          <w:lang w:eastAsia="en-US"/>
        </w:rPr>
        <w:t xml:space="preserve"> e microscopica</w:t>
      </w:r>
      <w:r w:rsidR="00EE2597" w:rsidRPr="007505F9">
        <w:rPr>
          <w:rFonts w:eastAsiaTheme="minorHAnsi"/>
          <w:b/>
          <w:bCs/>
          <w:sz w:val="24"/>
          <w:szCs w:val="24"/>
          <w:lang w:eastAsia="en-US"/>
        </w:rPr>
        <w:t>)</w:t>
      </w:r>
    </w:p>
    <w:p w14:paraId="14074823" w14:textId="02EFD372" w:rsidR="00980713" w:rsidRDefault="00EE2597" w:rsidP="00B84D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E2597">
        <w:rPr>
          <w:rFonts w:eastAsiaTheme="minorHAnsi"/>
          <w:sz w:val="24"/>
          <w:szCs w:val="24"/>
          <w:lang w:eastAsia="en-US"/>
        </w:rPr>
        <w:t>Bulbo oculare, tonaca fibrosa, tonaca vascolare, tonaca nervosa</w:t>
      </w:r>
      <w:r w:rsidR="001B5F74">
        <w:rPr>
          <w:rFonts w:eastAsiaTheme="minorHAnsi"/>
          <w:sz w:val="24"/>
          <w:szCs w:val="24"/>
          <w:lang w:eastAsia="en-US"/>
        </w:rPr>
        <w:t xml:space="preserve"> (fotorecettori: coni e bastoncelli</w:t>
      </w:r>
      <w:r w:rsidR="0018586A">
        <w:rPr>
          <w:rFonts w:eastAsiaTheme="minorHAnsi"/>
          <w:sz w:val="24"/>
          <w:szCs w:val="24"/>
          <w:lang w:eastAsia="en-US"/>
        </w:rPr>
        <w:t xml:space="preserve">, </w:t>
      </w:r>
      <w:r w:rsidR="00EA21F8">
        <w:rPr>
          <w:rFonts w:eastAsiaTheme="minorHAnsi"/>
          <w:sz w:val="24"/>
          <w:szCs w:val="24"/>
          <w:lang w:eastAsia="en-US"/>
        </w:rPr>
        <w:t xml:space="preserve">processo di </w:t>
      </w:r>
      <w:proofErr w:type="spellStart"/>
      <w:r w:rsidR="00EA21F8">
        <w:rPr>
          <w:rFonts w:eastAsiaTheme="minorHAnsi"/>
          <w:sz w:val="24"/>
          <w:szCs w:val="24"/>
          <w:lang w:eastAsia="en-US"/>
        </w:rPr>
        <w:t>fototrasduzione</w:t>
      </w:r>
      <w:proofErr w:type="spellEnd"/>
      <w:r w:rsidR="001B5F74">
        <w:rPr>
          <w:rFonts w:eastAsiaTheme="minorHAnsi"/>
          <w:sz w:val="24"/>
          <w:szCs w:val="24"/>
          <w:lang w:eastAsia="en-US"/>
        </w:rPr>
        <w:t>)</w:t>
      </w:r>
      <w:r w:rsidRPr="00EE2597">
        <w:rPr>
          <w:rFonts w:eastAsiaTheme="minorHAnsi"/>
          <w:sz w:val="24"/>
          <w:szCs w:val="24"/>
          <w:lang w:eastAsia="en-US"/>
        </w:rPr>
        <w:t>, nervo ottico, camera anteriore e</w:t>
      </w:r>
      <w:r w:rsidR="001B5F74">
        <w:rPr>
          <w:rFonts w:eastAsiaTheme="minorHAnsi"/>
          <w:sz w:val="24"/>
          <w:szCs w:val="24"/>
          <w:lang w:eastAsia="en-US"/>
        </w:rPr>
        <w:t xml:space="preserve"> </w:t>
      </w:r>
      <w:r w:rsidRPr="00EE2597">
        <w:rPr>
          <w:rFonts w:eastAsiaTheme="minorHAnsi"/>
          <w:sz w:val="24"/>
          <w:szCs w:val="24"/>
          <w:lang w:eastAsia="en-US"/>
        </w:rPr>
        <w:t>posteriore, umore acqueo, cristallino, corpo vitreo, organi accessori, congiuntiva, apparato</w:t>
      </w:r>
      <w:r w:rsidR="00B84D61">
        <w:rPr>
          <w:rFonts w:eastAsiaTheme="minorHAnsi"/>
          <w:sz w:val="24"/>
          <w:szCs w:val="24"/>
          <w:lang w:eastAsia="en-US"/>
        </w:rPr>
        <w:t xml:space="preserve"> </w:t>
      </w:r>
      <w:r w:rsidRPr="00EE2597">
        <w:rPr>
          <w:rFonts w:eastAsiaTheme="minorHAnsi"/>
          <w:sz w:val="24"/>
          <w:szCs w:val="24"/>
          <w:lang w:eastAsia="en-US"/>
        </w:rPr>
        <w:t>lacrimale, apparato muscolare estrinseco</w:t>
      </w:r>
      <w:r w:rsidR="00EA21F8">
        <w:rPr>
          <w:rFonts w:eastAsiaTheme="minorHAnsi"/>
          <w:sz w:val="24"/>
          <w:szCs w:val="24"/>
          <w:lang w:eastAsia="en-US"/>
        </w:rPr>
        <w:t>.</w:t>
      </w:r>
    </w:p>
    <w:p w14:paraId="04589B37" w14:textId="77777777" w:rsidR="00EA21F8" w:rsidRDefault="00EA21F8" w:rsidP="00EE2597">
      <w:pPr>
        <w:rPr>
          <w:rFonts w:eastAsiaTheme="minorHAnsi"/>
          <w:sz w:val="24"/>
          <w:szCs w:val="24"/>
          <w:lang w:eastAsia="en-US"/>
        </w:rPr>
      </w:pPr>
    </w:p>
    <w:p w14:paraId="3EE53C52" w14:textId="473A1C73" w:rsidR="002510D9" w:rsidRPr="002510D9" w:rsidRDefault="002510D9" w:rsidP="002510D9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Pr="00E11884">
        <w:rPr>
          <w:b/>
          <w:bCs/>
          <w:color w:val="000000"/>
          <w:sz w:val="24"/>
          <w:szCs w:val="24"/>
        </w:rPr>
        <w:t xml:space="preserve"> Unità didattica</w:t>
      </w:r>
      <w:r w:rsidRPr="002510D9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10D9">
        <w:rPr>
          <w:rFonts w:eastAsiaTheme="minorHAnsi"/>
          <w:b/>
          <w:sz w:val="24"/>
          <w:szCs w:val="24"/>
          <w:lang w:eastAsia="en-US"/>
        </w:rPr>
        <w:t>ELEMENTI DI FISIOPATOLOGIA OCULARE</w:t>
      </w:r>
    </w:p>
    <w:p w14:paraId="0FF7B9BA" w14:textId="77777777" w:rsidR="002510D9" w:rsidRPr="002510D9" w:rsidRDefault="002510D9" w:rsidP="002510D9">
      <w:pPr>
        <w:rPr>
          <w:rFonts w:eastAsiaTheme="minorHAnsi"/>
          <w:sz w:val="24"/>
          <w:szCs w:val="24"/>
          <w:lang w:eastAsia="en-US"/>
        </w:rPr>
      </w:pPr>
      <w:r w:rsidRPr="002510D9">
        <w:rPr>
          <w:rFonts w:eastAsiaTheme="minorHAnsi"/>
          <w:sz w:val="24"/>
          <w:szCs w:val="24"/>
          <w:lang w:eastAsia="en-US"/>
        </w:rPr>
        <w:t>Miopia (cause, tipi, diagnosi e trattamento), ipermetropia (cause, tipi, diagnosi e trattamento), astigmatismo (classificazione, sintomi, diagnosi e trattamento), presbiopia (sintomi, evoluzione, correzione)</w:t>
      </w:r>
    </w:p>
    <w:p w14:paraId="06F954BF" w14:textId="77777777" w:rsidR="00EA21F8" w:rsidRDefault="00EA21F8" w:rsidP="00EE2597">
      <w:pPr>
        <w:rPr>
          <w:rFonts w:eastAsiaTheme="minorHAnsi"/>
          <w:sz w:val="24"/>
          <w:szCs w:val="24"/>
          <w:lang w:eastAsia="en-US"/>
        </w:rPr>
      </w:pPr>
    </w:p>
    <w:p w14:paraId="091BFD02" w14:textId="78023140" w:rsidR="00E11884" w:rsidRDefault="002510D9" w:rsidP="00E1188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bookmarkStart w:id="0" w:name="_Hlk132883580"/>
      <w:r>
        <w:rPr>
          <w:rFonts w:eastAsiaTheme="minorHAnsi"/>
          <w:b/>
          <w:bCs/>
          <w:sz w:val="24"/>
          <w:szCs w:val="24"/>
          <w:lang w:eastAsia="en-US"/>
        </w:rPr>
        <w:t xml:space="preserve">3 </w:t>
      </w:r>
      <w:r w:rsidR="00E11884" w:rsidRPr="00E11884">
        <w:rPr>
          <w:b/>
          <w:bCs/>
          <w:color w:val="000000"/>
          <w:sz w:val="24"/>
          <w:szCs w:val="24"/>
        </w:rPr>
        <w:t>Unità didattica</w:t>
      </w:r>
      <w:bookmarkEnd w:id="0"/>
      <w:r w:rsidR="00E11884" w:rsidRPr="00E11884">
        <w:rPr>
          <w:b/>
          <w:bCs/>
          <w:color w:val="000000"/>
          <w:sz w:val="24"/>
          <w:szCs w:val="24"/>
        </w:rPr>
        <w:t>:</w:t>
      </w:r>
      <w:r w:rsidR="00E11884">
        <w:rPr>
          <w:b/>
          <w:bCs/>
          <w:color w:val="000000"/>
          <w:sz w:val="24"/>
          <w:szCs w:val="24"/>
        </w:rPr>
        <w:t xml:space="preserve"> </w:t>
      </w:r>
      <w:r w:rsidR="00E11884" w:rsidRPr="00E11884">
        <w:rPr>
          <w:b/>
          <w:bCs/>
          <w:color w:val="000000"/>
          <w:sz w:val="24"/>
          <w:szCs w:val="24"/>
        </w:rPr>
        <w:t>PATOLOGIE DEGLI ANNESSI OCULARI</w:t>
      </w:r>
    </w:p>
    <w:p w14:paraId="4AE3CCB0" w14:textId="081BA3BC" w:rsidR="00D165FD" w:rsidRPr="00D165FD" w:rsidRDefault="00D165FD" w:rsidP="00D165FD">
      <w:pPr>
        <w:rPr>
          <w:rFonts w:eastAsiaTheme="minorHAnsi"/>
          <w:sz w:val="24"/>
          <w:szCs w:val="22"/>
          <w:lang w:eastAsia="en-US"/>
        </w:rPr>
      </w:pPr>
      <w:r w:rsidRPr="00D165FD">
        <w:rPr>
          <w:rFonts w:eastAsiaTheme="minorHAnsi"/>
          <w:sz w:val="24"/>
          <w:szCs w:val="22"/>
          <w:lang w:eastAsia="en-US"/>
        </w:rPr>
        <w:t>Patologie delle palpebre (blefarite, orzaiolo, calazio, herpes zoster), patologie delle ghiandole lacrimali (dacrioadeniti acute e croniche), patologie delle vie lacrimali (dacriocistiti).</w:t>
      </w:r>
      <w:r w:rsidRPr="00D165FD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D165FD">
        <w:rPr>
          <w:rFonts w:eastAsiaTheme="minorHAnsi"/>
          <w:sz w:val="24"/>
          <w:szCs w:val="22"/>
          <w:lang w:eastAsia="en-US"/>
        </w:rPr>
        <w:t>Malattie del film lacrimale.</w:t>
      </w:r>
    </w:p>
    <w:p w14:paraId="2030581A" w14:textId="77777777" w:rsidR="00D165FD" w:rsidRPr="00D165FD" w:rsidRDefault="00D165FD" w:rsidP="00D165FD">
      <w:pPr>
        <w:rPr>
          <w:rFonts w:eastAsiaTheme="minorHAnsi"/>
          <w:sz w:val="24"/>
          <w:szCs w:val="22"/>
          <w:lang w:eastAsia="en-US"/>
        </w:rPr>
      </w:pPr>
    </w:p>
    <w:p w14:paraId="2E5B75D2" w14:textId="321B997A" w:rsidR="00D165FD" w:rsidRDefault="002510D9" w:rsidP="00D165F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4</w:t>
      </w:r>
      <w:r w:rsidR="00D165FD" w:rsidRPr="00D165F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165FD" w:rsidRPr="00D165FD">
        <w:rPr>
          <w:b/>
          <w:bCs/>
          <w:color w:val="000000"/>
          <w:sz w:val="24"/>
          <w:szCs w:val="24"/>
        </w:rPr>
        <w:t>Unità didattica: PATOLOGIE DELLA CONGIUNTIVA</w:t>
      </w:r>
    </w:p>
    <w:p w14:paraId="372E485D" w14:textId="77777777" w:rsidR="00D165FD" w:rsidRPr="00D165FD" w:rsidRDefault="00D165FD" w:rsidP="00D165FD">
      <w:pPr>
        <w:rPr>
          <w:rFonts w:eastAsiaTheme="minorHAnsi"/>
          <w:sz w:val="24"/>
          <w:szCs w:val="22"/>
          <w:lang w:eastAsia="en-US"/>
        </w:rPr>
      </w:pPr>
      <w:r w:rsidRPr="00D165FD">
        <w:rPr>
          <w:rFonts w:eastAsiaTheme="minorHAnsi"/>
          <w:sz w:val="24"/>
          <w:szCs w:val="22"/>
          <w:lang w:eastAsia="en-US"/>
        </w:rPr>
        <w:t xml:space="preserve">Congiuntiviti batteriche (forma acuta e cronica), congiuntiviti virali (da Adenovirus, </w:t>
      </w:r>
      <w:proofErr w:type="spellStart"/>
      <w:r w:rsidRPr="00D165FD">
        <w:rPr>
          <w:rFonts w:eastAsiaTheme="minorHAnsi"/>
          <w:sz w:val="24"/>
          <w:szCs w:val="22"/>
          <w:lang w:eastAsia="en-US"/>
        </w:rPr>
        <w:t>cheratocongiuntiviti</w:t>
      </w:r>
      <w:proofErr w:type="spellEnd"/>
      <w:r w:rsidRPr="00D165FD">
        <w:rPr>
          <w:rFonts w:eastAsiaTheme="minorHAnsi"/>
          <w:sz w:val="24"/>
          <w:szCs w:val="22"/>
          <w:lang w:eastAsia="en-US"/>
        </w:rPr>
        <w:t xml:space="preserve"> da Herpes), congiuntiviti allergiche e primaverili.</w:t>
      </w:r>
    </w:p>
    <w:p w14:paraId="5A2F655F" w14:textId="77777777" w:rsidR="001B5F74" w:rsidRDefault="001B5F74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5482CCC8" w14:textId="77777777" w:rsidR="001B5F74" w:rsidRDefault="001B5F74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72AB707C" w14:textId="77777777" w:rsidR="002510D9" w:rsidRDefault="002510D9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500119AF" w14:textId="77777777" w:rsidR="002510D9" w:rsidRDefault="002510D9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3B8815D0" w14:textId="3607457A" w:rsidR="003B682E" w:rsidRPr="003B682E" w:rsidRDefault="002510D9" w:rsidP="003B68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5</w:t>
      </w:r>
      <w:r w:rsidR="003B682E" w:rsidRPr="003B682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B682E" w:rsidRPr="003B682E">
        <w:rPr>
          <w:b/>
          <w:bCs/>
          <w:color w:val="000000"/>
          <w:sz w:val="24"/>
          <w:szCs w:val="24"/>
        </w:rPr>
        <w:t>Unità didattica: PATOLOGIE DI CORNEA E SCLERA</w:t>
      </w:r>
    </w:p>
    <w:p w14:paraId="51B7288F" w14:textId="6FC7E1B1" w:rsidR="00D165FD" w:rsidRPr="003B682E" w:rsidRDefault="003B682E" w:rsidP="00D165FD">
      <w:pPr>
        <w:rPr>
          <w:sz w:val="24"/>
        </w:rPr>
      </w:pPr>
      <w:r w:rsidRPr="003B682E">
        <w:rPr>
          <w:sz w:val="24"/>
        </w:rPr>
        <w:t>Cheratiti superficiali e profonde, ulcere corneali, cheratiti luetiche, tubercolari, cheratiti virali (cheratiti erpetiche), distrofie corneali acquisite (</w:t>
      </w:r>
      <w:proofErr w:type="spellStart"/>
      <w:r w:rsidRPr="003B682E">
        <w:rPr>
          <w:sz w:val="24"/>
        </w:rPr>
        <w:t>cheratomalacia</w:t>
      </w:r>
      <w:proofErr w:type="spellEnd"/>
      <w:r w:rsidRPr="003B682E">
        <w:rPr>
          <w:sz w:val="24"/>
        </w:rPr>
        <w:t>, cheratocono), distrofie corneali eredo-familiari.</w:t>
      </w:r>
    </w:p>
    <w:p w14:paraId="622A3989" w14:textId="52DFE312" w:rsidR="003B682E" w:rsidRDefault="003B682E" w:rsidP="00D165FD">
      <w:pPr>
        <w:rPr>
          <w:sz w:val="24"/>
        </w:rPr>
      </w:pPr>
      <w:r w:rsidRPr="003B682E">
        <w:rPr>
          <w:sz w:val="24"/>
        </w:rPr>
        <w:t>Episcleriti, scleriti, stafilomi sclerali, sindrome della sclera blu</w:t>
      </w:r>
      <w:r>
        <w:rPr>
          <w:sz w:val="24"/>
        </w:rPr>
        <w:t>.</w:t>
      </w:r>
    </w:p>
    <w:p w14:paraId="7217191B" w14:textId="7B2B0C67" w:rsidR="003B682E" w:rsidRDefault="003B682E" w:rsidP="00D165FD">
      <w:pPr>
        <w:rPr>
          <w:sz w:val="24"/>
        </w:rPr>
      </w:pPr>
    </w:p>
    <w:p w14:paraId="6AD901DB" w14:textId="77777777" w:rsidR="0018586A" w:rsidRDefault="0018586A" w:rsidP="003B68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</w:p>
    <w:p w14:paraId="2A064BF5" w14:textId="0C9D5A3E" w:rsidR="003B682E" w:rsidRDefault="002510D9" w:rsidP="003B68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B682E" w:rsidRPr="003B682E">
        <w:rPr>
          <w:b/>
          <w:bCs/>
          <w:sz w:val="24"/>
          <w:szCs w:val="24"/>
        </w:rPr>
        <w:t xml:space="preserve"> </w:t>
      </w:r>
      <w:r w:rsidR="003B682E" w:rsidRPr="003B682E">
        <w:rPr>
          <w:b/>
          <w:bCs/>
          <w:color w:val="000000"/>
          <w:sz w:val="24"/>
          <w:szCs w:val="24"/>
        </w:rPr>
        <w:t>Unità didattica: PATOLOGIE DEL CRISTALLINO</w:t>
      </w:r>
    </w:p>
    <w:p w14:paraId="3E3E75DE" w14:textId="1C8083E3" w:rsidR="003B682E" w:rsidRPr="003B682E" w:rsidRDefault="003B682E" w:rsidP="003B682E">
      <w:pPr>
        <w:rPr>
          <w:rFonts w:eastAsiaTheme="minorHAnsi"/>
          <w:sz w:val="24"/>
          <w:szCs w:val="22"/>
          <w:lang w:eastAsia="en-US"/>
        </w:rPr>
      </w:pPr>
      <w:r w:rsidRPr="003B682E">
        <w:rPr>
          <w:rFonts w:eastAsiaTheme="minorHAnsi"/>
          <w:sz w:val="24"/>
          <w:szCs w:val="22"/>
          <w:lang w:eastAsia="en-US"/>
        </w:rPr>
        <w:t xml:space="preserve">Cataratte congenite (opacità congenite non evolutive, cataratte congenite propriamente dette, cataratte congenite facenti parte di sindromi generali), cataratte acquisite (cataratta senile “corticale, nucleare, </w:t>
      </w:r>
      <w:proofErr w:type="spellStart"/>
      <w:r w:rsidRPr="003B682E">
        <w:rPr>
          <w:rFonts w:eastAsiaTheme="minorHAnsi"/>
          <w:sz w:val="24"/>
          <w:szCs w:val="22"/>
          <w:lang w:eastAsia="en-US"/>
        </w:rPr>
        <w:t>sottocapsulare</w:t>
      </w:r>
      <w:proofErr w:type="spellEnd"/>
      <w:r w:rsidRPr="003B682E">
        <w:rPr>
          <w:rFonts w:eastAsiaTheme="minorHAnsi"/>
          <w:sz w:val="24"/>
          <w:szCs w:val="22"/>
          <w:lang w:eastAsia="en-US"/>
        </w:rPr>
        <w:t xml:space="preserve"> posteriore”, cataratte complicate, sintomatiche, traumatiche, da agenti fisico-chimici, iatrogene, secondarie</w:t>
      </w:r>
      <w:r w:rsidR="00B84D61">
        <w:rPr>
          <w:rFonts w:eastAsiaTheme="minorHAnsi"/>
          <w:sz w:val="24"/>
          <w:szCs w:val="22"/>
          <w:lang w:eastAsia="en-US"/>
        </w:rPr>
        <w:t>).</w:t>
      </w:r>
    </w:p>
    <w:p w14:paraId="4D8F04BD" w14:textId="41E9D80F" w:rsidR="003B682E" w:rsidRDefault="003B682E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sz w:val="24"/>
          <w:szCs w:val="22"/>
          <w:lang w:eastAsia="en-US"/>
        </w:rPr>
      </w:pPr>
      <w:r w:rsidRPr="003B682E">
        <w:rPr>
          <w:rFonts w:eastAsiaTheme="minorHAnsi"/>
          <w:sz w:val="24"/>
          <w:szCs w:val="22"/>
          <w:lang w:eastAsia="en-US"/>
        </w:rPr>
        <w:t>Correzione dell’afachia</w:t>
      </w:r>
      <w:r w:rsidR="0033456E">
        <w:rPr>
          <w:rFonts w:eastAsiaTheme="minorHAnsi"/>
          <w:sz w:val="24"/>
          <w:szCs w:val="22"/>
          <w:lang w:eastAsia="en-US"/>
        </w:rPr>
        <w:t>.</w:t>
      </w:r>
      <w:r w:rsidR="00B84D61">
        <w:rPr>
          <w:rFonts w:eastAsiaTheme="minorHAnsi"/>
          <w:sz w:val="24"/>
          <w:szCs w:val="22"/>
          <w:lang w:eastAsia="en-US"/>
        </w:rPr>
        <w:t xml:space="preserve"> </w:t>
      </w:r>
    </w:p>
    <w:p w14:paraId="5C9A759D" w14:textId="2C9EFBCD" w:rsidR="0033456E" w:rsidRDefault="0033456E" w:rsidP="003B682E">
      <w:pPr>
        <w:pBdr>
          <w:top w:val="nil"/>
          <w:left w:val="nil"/>
          <w:bottom w:val="nil"/>
          <w:right w:val="nil"/>
          <w:between w:val="nil"/>
        </w:pBdr>
        <w:rPr>
          <w:rFonts w:eastAsiaTheme="minorHAnsi"/>
          <w:sz w:val="24"/>
          <w:szCs w:val="22"/>
          <w:lang w:eastAsia="en-US"/>
        </w:rPr>
      </w:pPr>
    </w:p>
    <w:p w14:paraId="6A2EB34C" w14:textId="70E688B6" w:rsidR="0033456E" w:rsidRDefault="002510D9" w:rsidP="0033456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33456E" w:rsidRPr="0033456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bookmarkStart w:id="1" w:name="_Hlk102226610"/>
      <w:r w:rsidR="0033456E" w:rsidRPr="0033456E">
        <w:rPr>
          <w:b/>
          <w:bCs/>
          <w:color w:val="000000"/>
          <w:sz w:val="24"/>
          <w:szCs w:val="24"/>
        </w:rPr>
        <w:t>Unità didattica: PATOLOGIE DE</w:t>
      </w:r>
      <w:bookmarkEnd w:id="1"/>
      <w:r w:rsidR="0033456E" w:rsidRPr="0033456E">
        <w:rPr>
          <w:b/>
          <w:bCs/>
          <w:color w:val="000000"/>
          <w:sz w:val="24"/>
          <w:szCs w:val="24"/>
        </w:rPr>
        <w:t>L VITREO</w:t>
      </w:r>
    </w:p>
    <w:p w14:paraId="49D3C816" w14:textId="4B65F409" w:rsidR="0033456E" w:rsidRDefault="0033456E" w:rsidP="0033456E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3456E">
        <w:rPr>
          <w:sz w:val="24"/>
        </w:rPr>
        <w:t>Patologia infiammatoria del vitreo, patologia degenerativa del vitreo, alterazioni di contenuto, emorragie del vitreo</w:t>
      </w:r>
      <w:r>
        <w:rPr>
          <w:sz w:val="24"/>
        </w:rPr>
        <w:t>.</w:t>
      </w:r>
    </w:p>
    <w:p w14:paraId="214FCD38" w14:textId="0D80AFEB" w:rsidR="0033456E" w:rsidRDefault="0033456E" w:rsidP="0033456E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1CE9844B" w14:textId="036329BC" w:rsidR="0033456E" w:rsidRDefault="002510D9" w:rsidP="0033456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</w:rPr>
        <w:t xml:space="preserve">8 </w:t>
      </w:r>
      <w:r w:rsidR="0033456E" w:rsidRPr="0033456E">
        <w:rPr>
          <w:b/>
          <w:bCs/>
          <w:color w:val="000000"/>
          <w:sz w:val="24"/>
          <w:szCs w:val="24"/>
        </w:rPr>
        <w:t>Unità didattica: PATOLOGIE DE</w:t>
      </w:r>
      <w:r w:rsidR="0033456E">
        <w:rPr>
          <w:b/>
          <w:bCs/>
          <w:color w:val="000000"/>
          <w:sz w:val="24"/>
          <w:szCs w:val="24"/>
        </w:rPr>
        <w:t>LL’UVEA</w:t>
      </w:r>
    </w:p>
    <w:p w14:paraId="3F1E813E" w14:textId="3FE7FD36" w:rsidR="0033456E" w:rsidRDefault="00FF3950" w:rsidP="0033456E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FF3950">
        <w:rPr>
          <w:sz w:val="24"/>
        </w:rPr>
        <w:t xml:space="preserve">Uveiti anteriori (iridocicliti acute e croniche), uveiti </w:t>
      </w:r>
      <w:proofErr w:type="spellStart"/>
      <w:proofErr w:type="gramStart"/>
      <w:r w:rsidRPr="00FF3950">
        <w:rPr>
          <w:sz w:val="24"/>
        </w:rPr>
        <w:t>ipertensive,uveiti</w:t>
      </w:r>
      <w:proofErr w:type="spellEnd"/>
      <w:proofErr w:type="gramEnd"/>
      <w:r w:rsidRPr="00FF3950">
        <w:rPr>
          <w:sz w:val="24"/>
        </w:rPr>
        <w:t xml:space="preserve"> posteriori (coroidite a focolaio, disseminata, diffusa), uveiti diffuse o </w:t>
      </w:r>
      <w:proofErr w:type="spellStart"/>
      <w:r w:rsidRPr="00FF3950">
        <w:rPr>
          <w:sz w:val="24"/>
        </w:rPr>
        <w:t>panuveiti</w:t>
      </w:r>
      <w:proofErr w:type="spellEnd"/>
      <w:r w:rsidRPr="00FF3950">
        <w:rPr>
          <w:sz w:val="24"/>
        </w:rPr>
        <w:t>, distacco di coroide</w:t>
      </w:r>
      <w:r>
        <w:rPr>
          <w:sz w:val="24"/>
        </w:rPr>
        <w:t>.</w:t>
      </w:r>
    </w:p>
    <w:p w14:paraId="6B0F72B1" w14:textId="4AAFDCCD" w:rsidR="00FF3950" w:rsidRDefault="00FF3950" w:rsidP="0033456E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57B66FA0" w14:textId="7D18AA4D" w:rsidR="00FF3950" w:rsidRDefault="002510D9" w:rsidP="00FF395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bookmarkStart w:id="2" w:name="_Hlk102226969"/>
      <w:r>
        <w:rPr>
          <w:b/>
          <w:bCs/>
          <w:color w:val="000000"/>
          <w:sz w:val="24"/>
          <w:szCs w:val="24"/>
        </w:rPr>
        <w:t>9</w:t>
      </w:r>
      <w:r w:rsidR="00FF3950" w:rsidRPr="00FF3950">
        <w:rPr>
          <w:b/>
          <w:bCs/>
          <w:color w:val="000000"/>
          <w:sz w:val="24"/>
          <w:szCs w:val="24"/>
        </w:rPr>
        <w:t xml:space="preserve"> Unità didattica: </w:t>
      </w:r>
      <w:bookmarkEnd w:id="2"/>
      <w:r w:rsidR="00FF3950" w:rsidRPr="00FF3950">
        <w:rPr>
          <w:b/>
          <w:bCs/>
          <w:color w:val="000000"/>
          <w:sz w:val="24"/>
          <w:szCs w:val="24"/>
        </w:rPr>
        <w:t>PATOLOGIE DELLA RETINA</w:t>
      </w:r>
    </w:p>
    <w:p w14:paraId="3BCD0B64" w14:textId="1733357E" w:rsidR="00FF3950" w:rsidRDefault="001B5F74" w:rsidP="00FF3950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>
        <w:rPr>
          <w:sz w:val="24"/>
        </w:rPr>
        <w:t>M</w:t>
      </w:r>
      <w:r w:rsidR="00FF3950" w:rsidRPr="00FF3950">
        <w:rPr>
          <w:sz w:val="24"/>
        </w:rPr>
        <w:t>alattie retiniche conseguenti a malattie generali (retinopatia diabetica e retinopatie ipertensive), degenerazioni retiniche centrali (maculopatie), distacco di retina (primitivo e secondario).</w:t>
      </w:r>
    </w:p>
    <w:p w14:paraId="2297DA4C" w14:textId="369E5FF0" w:rsidR="001B5F74" w:rsidRDefault="001B5F74" w:rsidP="00FF3950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74D35B37" w14:textId="11C875B1" w:rsidR="001B5F74" w:rsidRDefault="001B5F74" w:rsidP="00FF395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FB58D4">
        <w:rPr>
          <w:b/>
          <w:bCs/>
          <w:sz w:val="24"/>
          <w:szCs w:val="24"/>
        </w:rPr>
        <w:t xml:space="preserve">10 </w:t>
      </w:r>
      <w:r w:rsidRPr="00FB58D4">
        <w:rPr>
          <w:b/>
          <w:bCs/>
          <w:color w:val="000000"/>
          <w:sz w:val="24"/>
          <w:szCs w:val="24"/>
        </w:rPr>
        <w:t>Unità didattica:</w:t>
      </w:r>
      <w:r w:rsidR="00FB58D4" w:rsidRPr="00FB58D4">
        <w:rPr>
          <w:b/>
          <w:bCs/>
          <w:color w:val="000000"/>
          <w:sz w:val="24"/>
          <w:szCs w:val="24"/>
        </w:rPr>
        <w:t xml:space="preserve"> I GLAUCOMI</w:t>
      </w:r>
    </w:p>
    <w:p w14:paraId="1AB1D4E6" w14:textId="10B66BEC" w:rsidR="00FB58D4" w:rsidRPr="0080443A" w:rsidRDefault="00FB58D4" w:rsidP="00FB58D4">
      <w:pPr>
        <w:rPr>
          <w:rFonts w:eastAsiaTheme="minorHAnsi"/>
          <w:sz w:val="24"/>
          <w:szCs w:val="22"/>
          <w:lang w:eastAsia="en-US"/>
        </w:rPr>
      </w:pPr>
      <w:r w:rsidRPr="00FB58D4">
        <w:rPr>
          <w:rFonts w:eastAsiaTheme="minorHAnsi"/>
          <w:sz w:val="24"/>
          <w:szCs w:val="22"/>
          <w:lang w:eastAsia="en-US"/>
        </w:rPr>
        <w:t>Glaucoma cronico semplice (</w:t>
      </w:r>
      <w:proofErr w:type="spellStart"/>
      <w:r w:rsidRPr="00FB58D4">
        <w:rPr>
          <w:rFonts w:eastAsiaTheme="minorHAnsi"/>
          <w:sz w:val="24"/>
          <w:szCs w:val="22"/>
          <w:lang w:eastAsia="en-US"/>
        </w:rPr>
        <w:t>ipersecretivo</w:t>
      </w:r>
      <w:proofErr w:type="spellEnd"/>
      <w:r w:rsidRPr="00FB58D4">
        <w:rPr>
          <w:rFonts w:eastAsiaTheme="minorHAnsi"/>
          <w:sz w:val="24"/>
          <w:szCs w:val="22"/>
          <w:lang w:eastAsia="en-US"/>
        </w:rPr>
        <w:t xml:space="preserve">, sine-ipertensione, con esfoliazione uveale), glaucoma primitivo ad angolo chiuso, </w:t>
      </w:r>
      <w:r w:rsidR="00B84D61">
        <w:rPr>
          <w:rFonts w:eastAsiaTheme="minorHAnsi"/>
          <w:sz w:val="24"/>
          <w:szCs w:val="22"/>
          <w:lang w:eastAsia="en-US"/>
        </w:rPr>
        <w:t xml:space="preserve">crisi di glaucoma acuto, </w:t>
      </w:r>
      <w:r w:rsidRPr="00FB58D4">
        <w:rPr>
          <w:rFonts w:eastAsiaTheme="minorHAnsi"/>
          <w:sz w:val="24"/>
          <w:szCs w:val="22"/>
          <w:lang w:eastAsia="en-US"/>
        </w:rPr>
        <w:t>glaucoma congenito, glaucomi secondari, terapia del glaucoma (provvedimenti medici e chirurgici).</w:t>
      </w:r>
    </w:p>
    <w:p w14:paraId="09E8AEE4" w14:textId="28CF5516" w:rsidR="00FB58D4" w:rsidRPr="00FB58D4" w:rsidRDefault="00FB58D4" w:rsidP="00FB58D4">
      <w:pPr>
        <w:rPr>
          <w:rFonts w:eastAsiaTheme="minorHAnsi"/>
          <w:sz w:val="24"/>
          <w:szCs w:val="22"/>
          <w:lang w:eastAsia="en-US"/>
        </w:rPr>
      </w:pPr>
      <w:r w:rsidRPr="0080443A">
        <w:rPr>
          <w:sz w:val="24"/>
        </w:rPr>
        <w:t xml:space="preserve">Diagnosi con tonometria, </w:t>
      </w:r>
      <w:proofErr w:type="spellStart"/>
      <w:r w:rsidRPr="0080443A">
        <w:rPr>
          <w:sz w:val="24"/>
        </w:rPr>
        <w:t>gonioscopia</w:t>
      </w:r>
      <w:proofErr w:type="spellEnd"/>
      <w:r w:rsidRPr="0080443A">
        <w:rPr>
          <w:sz w:val="24"/>
        </w:rPr>
        <w:t xml:space="preserve">, campimetria, perimetria, oftalmoscopia, </w:t>
      </w:r>
      <w:proofErr w:type="spellStart"/>
      <w:r w:rsidRPr="0080443A">
        <w:rPr>
          <w:sz w:val="24"/>
        </w:rPr>
        <w:t>fluoroangiografia</w:t>
      </w:r>
      <w:proofErr w:type="spellEnd"/>
      <w:r w:rsidR="00EE3BA6">
        <w:rPr>
          <w:sz w:val="24"/>
        </w:rPr>
        <w:t xml:space="preserve"> (caratteristiche generali).</w:t>
      </w:r>
    </w:p>
    <w:p w14:paraId="3D87C554" w14:textId="4E9CCC49" w:rsidR="003B682E" w:rsidRDefault="003B682E" w:rsidP="00D165FD">
      <w:pPr>
        <w:rPr>
          <w:b/>
          <w:bCs/>
          <w:sz w:val="24"/>
        </w:rPr>
      </w:pPr>
    </w:p>
    <w:p w14:paraId="40FF05A2" w14:textId="77777777" w:rsidR="00B84D61" w:rsidRDefault="00B84D61" w:rsidP="00D165FD">
      <w:pPr>
        <w:rPr>
          <w:b/>
          <w:bCs/>
          <w:sz w:val="24"/>
        </w:rPr>
      </w:pPr>
    </w:p>
    <w:p w14:paraId="025BBB7B" w14:textId="67A0304F" w:rsidR="00B84D61" w:rsidRPr="00B84D61" w:rsidRDefault="00B84D61" w:rsidP="00D165FD">
      <w:pPr>
        <w:rPr>
          <w:sz w:val="24"/>
        </w:rPr>
      </w:pPr>
      <w:r w:rsidRPr="00B84D61">
        <w:rPr>
          <w:sz w:val="24"/>
        </w:rPr>
        <w:t>Brindisi</w:t>
      </w:r>
      <w:r>
        <w:rPr>
          <w:sz w:val="24"/>
        </w:rPr>
        <w:t>, 0</w:t>
      </w:r>
      <w:r w:rsidR="008378F2">
        <w:rPr>
          <w:sz w:val="24"/>
        </w:rPr>
        <w:t>6/06/2023</w:t>
      </w:r>
    </w:p>
    <w:p w14:paraId="048E3547" w14:textId="05C3BE0A" w:rsidR="00D165FD" w:rsidRPr="00D165FD" w:rsidRDefault="00D165FD" w:rsidP="00D165FD">
      <w:pPr>
        <w:rPr>
          <w:rFonts w:eastAsiaTheme="minorHAnsi"/>
          <w:sz w:val="24"/>
          <w:szCs w:val="22"/>
          <w:lang w:eastAsia="en-US"/>
        </w:rPr>
      </w:pPr>
    </w:p>
    <w:p w14:paraId="1783CDDB" w14:textId="175F4367" w:rsidR="00980713" w:rsidRPr="008378F2" w:rsidRDefault="008378F2" w:rsidP="008378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378F2">
        <w:rPr>
          <w:color w:val="000000"/>
          <w:sz w:val="24"/>
          <w:szCs w:val="24"/>
        </w:rPr>
        <w:t>Alunni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D771A" w:rsidRPr="0080443A">
        <w:rPr>
          <w:sz w:val="24"/>
          <w:szCs w:val="24"/>
        </w:rPr>
        <w:t xml:space="preserve"> </w:t>
      </w:r>
      <w:r w:rsidR="00980713" w:rsidRPr="0080443A">
        <w:rPr>
          <w:sz w:val="24"/>
          <w:szCs w:val="24"/>
        </w:rPr>
        <w:t>I docent</w:t>
      </w:r>
      <w:r w:rsidR="0080443A" w:rsidRPr="0080443A">
        <w:rPr>
          <w:sz w:val="24"/>
          <w:szCs w:val="24"/>
        </w:rPr>
        <w:t>i</w:t>
      </w:r>
    </w:p>
    <w:p w14:paraId="45E51441" w14:textId="77777777" w:rsidR="00C60FAA" w:rsidRPr="0080443A" w:rsidRDefault="00C60FAA" w:rsidP="000945C4">
      <w:pPr>
        <w:ind w:left="5664" w:firstLine="708"/>
        <w:rPr>
          <w:sz w:val="24"/>
          <w:szCs w:val="24"/>
        </w:rPr>
      </w:pPr>
    </w:p>
    <w:p w14:paraId="0A7A1F9E" w14:textId="4B523E9E" w:rsidR="0080443A" w:rsidRPr="0080443A" w:rsidRDefault="0080443A" w:rsidP="0071254A">
      <w:pPr>
        <w:tabs>
          <w:tab w:val="center" w:pos="7938"/>
        </w:tabs>
        <w:rPr>
          <w:b/>
          <w:i/>
          <w:iCs/>
          <w:sz w:val="24"/>
          <w:szCs w:val="24"/>
        </w:rPr>
      </w:pPr>
      <w:r w:rsidRPr="0080443A">
        <w:rPr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80443A" w:rsidRPr="0080443A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853847">
    <w:abstractNumId w:val="0"/>
  </w:num>
  <w:num w:numId="2" w16cid:durableId="1303121610">
    <w:abstractNumId w:val="5"/>
  </w:num>
  <w:num w:numId="3" w16cid:durableId="966858549">
    <w:abstractNumId w:val="6"/>
  </w:num>
  <w:num w:numId="4" w16cid:durableId="1859855971">
    <w:abstractNumId w:val="2"/>
  </w:num>
  <w:num w:numId="5" w16cid:durableId="1389574161">
    <w:abstractNumId w:val="1"/>
  </w:num>
  <w:num w:numId="6" w16cid:durableId="1117868355">
    <w:abstractNumId w:val="11"/>
  </w:num>
  <w:num w:numId="7" w16cid:durableId="16346747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577454">
    <w:abstractNumId w:val="23"/>
  </w:num>
  <w:num w:numId="9" w16cid:durableId="1954285679">
    <w:abstractNumId w:val="20"/>
  </w:num>
  <w:num w:numId="10" w16cid:durableId="49963926">
    <w:abstractNumId w:val="19"/>
  </w:num>
  <w:num w:numId="11" w16cid:durableId="1831142202">
    <w:abstractNumId w:val="16"/>
  </w:num>
  <w:num w:numId="12" w16cid:durableId="147091942">
    <w:abstractNumId w:val="18"/>
  </w:num>
  <w:num w:numId="13" w16cid:durableId="488718618">
    <w:abstractNumId w:val="13"/>
  </w:num>
  <w:num w:numId="14" w16cid:durableId="741683930">
    <w:abstractNumId w:val="14"/>
  </w:num>
  <w:num w:numId="15" w16cid:durableId="1911495629">
    <w:abstractNumId w:val="25"/>
  </w:num>
  <w:num w:numId="16" w16cid:durableId="1555501986">
    <w:abstractNumId w:val="27"/>
  </w:num>
  <w:num w:numId="17" w16cid:durableId="2017875565">
    <w:abstractNumId w:val="29"/>
  </w:num>
  <w:num w:numId="18" w16cid:durableId="956791946">
    <w:abstractNumId w:val="26"/>
  </w:num>
  <w:num w:numId="19" w16cid:durableId="605235718">
    <w:abstractNumId w:val="17"/>
  </w:num>
  <w:num w:numId="20" w16cid:durableId="1866794964">
    <w:abstractNumId w:val="10"/>
  </w:num>
  <w:num w:numId="21" w16cid:durableId="1320383864">
    <w:abstractNumId w:val="28"/>
  </w:num>
  <w:num w:numId="22" w16cid:durableId="1224567023">
    <w:abstractNumId w:val="22"/>
  </w:num>
  <w:num w:numId="23" w16cid:durableId="1153136222">
    <w:abstractNumId w:val="12"/>
  </w:num>
  <w:num w:numId="24" w16cid:durableId="1452170697">
    <w:abstractNumId w:val="21"/>
  </w:num>
  <w:num w:numId="25" w16cid:durableId="187068877">
    <w:abstractNumId w:val="9"/>
  </w:num>
  <w:num w:numId="26" w16cid:durableId="1253858159">
    <w:abstractNumId w:val="8"/>
  </w:num>
  <w:num w:numId="27" w16cid:durableId="654458591">
    <w:abstractNumId w:val="24"/>
  </w:num>
  <w:num w:numId="28" w16cid:durableId="1038891044">
    <w:abstractNumId w:val="3"/>
  </w:num>
  <w:num w:numId="29" w16cid:durableId="419522342">
    <w:abstractNumId w:val="30"/>
  </w:num>
  <w:num w:numId="30" w16cid:durableId="868417644">
    <w:abstractNumId w:val="31"/>
  </w:num>
  <w:num w:numId="31" w16cid:durableId="432432367">
    <w:abstractNumId w:val="15"/>
  </w:num>
  <w:num w:numId="32" w16cid:durableId="866068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2622C"/>
    <w:rsid w:val="0003728B"/>
    <w:rsid w:val="00054525"/>
    <w:rsid w:val="00075483"/>
    <w:rsid w:val="000945C4"/>
    <w:rsid w:val="000A332B"/>
    <w:rsid w:val="000B7120"/>
    <w:rsid w:val="000D7883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8586A"/>
    <w:rsid w:val="001A566C"/>
    <w:rsid w:val="001B5E42"/>
    <w:rsid w:val="001B5F74"/>
    <w:rsid w:val="001E57FC"/>
    <w:rsid w:val="001F1730"/>
    <w:rsid w:val="00210C7B"/>
    <w:rsid w:val="00212FFE"/>
    <w:rsid w:val="00224703"/>
    <w:rsid w:val="00236174"/>
    <w:rsid w:val="002372CB"/>
    <w:rsid w:val="002510D9"/>
    <w:rsid w:val="00252482"/>
    <w:rsid w:val="00254B3F"/>
    <w:rsid w:val="00266470"/>
    <w:rsid w:val="00294F74"/>
    <w:rsid w:val="002D5630"/>
    <w:rsid w:val="002D771A"/>
    <w:rsid w:val="002E3F3A"/>
    <w:rsid w:val="00303070"/>
    <w:rsid w:val="0033456E"/>
    <w:rsid w:val="0037239F"/>
    <w:rsid w:val="0038192F"/>
    <w:rsid w:val="0039731F"/>
    <w:rsid w:val="003B17C0"/>
    <w:rsid w:val="003B682E"/>
    <w:rsid w:val="003C401B"/>
    <w:rsid w:val="003E01F9"/>
    <w:rsid w:val="003E2EFC"/>
    <w:rsid w:val="003F667C"/>
    <w:rsid w:val="003F6DD6"/>
    <w:rsid w:val="00400F49"/>
    <w:rsid w:val="00406973"/>
    <w:rsid w:val="00420EA0"/>
    <w:rsid w:val="00423B1A"/>
    <w:rsid w:val="004714BC"/>
    <w:rsid w:val="004B4369"/>
    <w:rsid w:val="004B5DE1"/>
    <w:rsid w:val="004C6144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254A"/>
    <w:rsid w:val="00715692"/>
    <w:rsid w:val="00744D11"/>
    <w:rsid w:val="007505F9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443A"/>
    <w:rsid w:val="00807DF1"/>
    <w:rsid w:val="0081171C"/>
    <w:rsid w:val="00833860"/>
    <w:rsid w:val="008378F2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84D61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94B96"/>
    <w:rsid w:val="00CA2722"/>
    <w:rsid w:val="00CA6788"/>
    <w:rsid w:val="00CB28CB"/>
    <w:rsid w:val="00CB7D48"/>
    <w:rsid w:val="00CD14C6"/>
    <w:rsid w:val="00CE49E4"/>
    <w:rsid w:val="00D165FD"/>
    <w:rsid w:val="00D3159A"/>
    <w:rsid w:val="00D45D42"/>
    <w:rsid w:val="00D50F58"/>
    <w:rsid w:val="00D57DA4"/>
    <w:rsid w:val="00D66E28"/>
    <w:rsid w:val="00DA4216"/>
    <w:rsid w:val="00DD3B98"/>
    <w:rsid w:val="00DE0744"/>
    <w:rsid w:val="00DF03F2"/>
    <w:rsid w:val="00DF3968"/>
    <w:rsid w:val="00E019D6"/>
    <w:rsid w:val="00E05F57"/>
    <w:rsid w:val="00E11884"/>
    <w:rsid w:val="00E2537E"/>
    <w:rsid w:val="00E3472B"/>
    <w:rsid w:val="00E455E6"/>
    <w:rsid w:val="00E6138B"/>
    <w:rsid w:val="00E740A5"/>
    <w:rsid w:val="00E7667C"/>
    <w:rsid w:val="00EA21F8"/>
    <w:rsid w:val="00ED2D6B"/>
    <w:rsid w:val="00EE2597"/>
    <w:rsid w:val="00EE3BA6"/>
    <w:rsid w:val="00EF0F23"/>
    <w:rsid w:val="00F106CB"/>
    <w:rsid w:val="00F13ACC"/>
    <w:rsid w:val="00F3252F"/>
    <w:rsid w:val="00F83D5B"/>
    <w:rsid w:val="00F95FBD"/>
    <w:rsid w:val="00FA0B70"/>
    <w:rsid w:val="00FA32A0"/>
    <w:rsid w:val="00FB4FAA"/>
    <w:rsid w:val="00FB58D4"/>
    <w:rsid w:val="00FB77FF"/>
    <w:rsid w:val="00FC40D6"/>
    <w:rsid w:val="00FC5414"/>
    <w:rsid w:val="00FC7B88"/>
    <w:rsid w:val="00FF3950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gaby.gp@libero.it</cp:lastModifiedBy>
  <cp:revision>17</cp:revision>
  <cp:lastPrinted>2020-05-21T15:51:00Z</cp:lastPrinted>
  <dcterms:created xsi:type="dcterms:W3CDTF">2022-04-27T08:38:00Z</dcterms:created>
  <dcterms:modified xsi:type="dcterms:W3CDTF">2023-06-01T17:00:00Z</dcterms:modified>
</cp:coreProperties>
</file>