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1567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ISTITUTO PROFESSIONALE DI STATO PER I SERVIZI SOCIALI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“Francesca Laura MORVILLO FALCONE”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Via Galanti, 1 - Tel. 0831/513991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brrf010008@istruzione.it – brrf010008@pec.istruzione.it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 www.morvillofalconebrindisi.edu.it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72100   B R I N D I S I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after="95"/>
      </w:pPr>
      <w:r>
        <w:rPr>
          <w:rFonts w:ascii="Times New Roman" w:hAnsi="Times New Roman" w:cs="Times New Roman"/>
          <w:sz w:val="20"/>
          <w:sz-cs w:val="20"/>
          <w:b/>
        </w:rPr>
        <w:t xml:space="preserve">MATERIA: Igiene e Cultura medico-sanitaria  (ore settimanali: 4). </w:t>
      </w:r>
    </w:p>
    <w:p>
      <w:pPr>
        <w:spacing w:after="95"/>
      </w:pPr>
      <w:r>
        <w:rPr>
          <w:rFonts w:ascii="Times New Roman" w:hAnsi="Times New Roman" w:cs="Times New Roman"/>
          <w:sz w:val="20"/>
          <w:sz-cs w:val="20"/>
        </w:rPr>
        <w:t xml:space="preserve">CLASSE: V B indirizzo Socio.Ssanitario</w:t>
      </w:r>
    </w:p>
    <w:p>
      <w:pPr>
        <w:spacing w:after="95"/>
      </w:pPr>
      <w:r>
        <w:rPr>
          <w:rFonts w:ascii="Times New Roman" w:hAnsi="Times New Roman" w:cs="Times New Roman"/>
          <w:sz w:val="20"/>
          <w:sz-cs w:val="20"/>
        </w:rPr>
        <w:t xml:space="preserve">ANNO SCOLASTICO:2021/2022  </w:t>
      </w:r>
    </w:p>
    <w:p>
      <w:pPr>
        <w:spacing w:after="95"/>
      </w:pPr>
      <w:r>
        <w:rPr>
          <w:rFonts w:ascii="Times New Roman" w:hAnsi="Times New Roman" w:cs="Times New Roman"/>
          <w:sz w:val="20"/>
          <w:sz-cs w:val="20"/>
        </w:rPr>
        <w:t xml:space="preserve">DOCENTE: Argentiero Madia </w:t>
      </w:r>
    </w:p>
    <w:p>
      <w:pPr>
        <w:ind w:left="10"/>
      </w:pPr>
      <w:r>
        <w:rPr>
          <w:rFonts w:ascii="Times New Roman" w:hAnsi="Times New Roman" w:cs="Times New Roman"/>
          <w:sz w:val="20"/>
          <w:sz-cs w:val="20"/>
        </w:rPr>
        <w:t xml:space="preserve">Libro di testo: Igiene e cultura medico-sanitaria- Antonella Bedendo –Poseidonia scuola. </w:t>
      </w:r>
    </w:p>
    <w:p>
      <w:pPr>
        <w:ind w:left="10"/>
      </w:pPr>
      <w:r>
        <w:rPr>
          <w:rFonts w:ascii="Times New Roman" w:hAnsi="Times New Roman" w:cs="Times New Roman"/>
          <w:sz w:val="20"/>
          <w:sz-cs w:val="20"/>
        </w:rPr>
        <w:t xml:space="preserve">Vol. B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Argomenti: 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ANATOMIA E FISIOLOGIA DEL SISTEMA NERVOSO</w:t>
      </w:r>
    </w:p>
    <w:p>
      <w:pPr>
        <w:jc w:val="both"/>
        <w:ind w:left="70"/>
      </w:pPr>
      <w:r>
        <w:rPr>
          <w:rFonts w:ascii="Times New Roman" w:hAnsi="Times New Roman" w:cs="Times New Roman"/>
          <w:sz w:val="20"/>
          <w:sz-cs w:val="20"/>
        </w:rPr>
        <w:t xml:space="preserve">SISTEMA NERVOSO </w:t>
      </w:r>
    </w:p>
    <w:p>
      <w:pPr>
        <w:ind w:left="720"/>
        <w:spacing w:after="56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Istologia del tessuto nervoso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IL sistema nervoso e le sue protezioni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              Midollo spinale e arco riflesso, cervello ,tronco cerebrale e cervelletto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70"/>
      </w:pPr>
      <w:r>
        <w:rPr>
          <w:rFonts w:ascii="Times New Roman" w:hAnsi="Times New Roman" w:cs="Times New Roman"/>
          <w:sz w:val="20"/>
          <w:sz-cs w:val="20"/>
        </w:rPr>
        <w:t xml:space="preserve">APPARATO  GENITALE</w:t>
      </w:r>
    </w:p>
    <w:p>
      <w:pPr>
        <w:jc w:val="both"/>
        <w:ind w:left="720"/>
        <w:spacing w:after="6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  Apparato genitale femminile </w:t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  Apparato genitale maschile•</w:t>
        <w:tab/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  Ciclo mestruale </w:t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>     LA PREVENZIONE PRIMA, DURANTE E DOPO LA NASCITA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LA PREVENZIONE IN GRAVIDANZA </w:t>
      </w:r>
    </w:p>
    <w:p>
      <w:pPr>
        <w:ind w:left="720"/>
        <w:spacing w:after="3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La gravidanza </w:t>
      </w:r>
    </w:p>
    <w:p>
      <w:pPr>
        <w:ind w:left="720"/>
        <w:spacing w:after="5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Gli annessi embrionali </w:t>
      </w:r>
    </w:p>
    <w:p>
      <w:pPr>
        <w:ind w:left="720"/>
        <w:spacing w:after="3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La prevenzione dei rischi in gravidanza </w:t>
      </w:r>
    </w:p>
    <w:p>
      <w:pPr>
        <w:ind w:left="720"/>
        <w:spacing w:after="3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Complesso TORCH 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Toxoplasmosi, rosolia, herpes simplex e citomegalovirus </w:t>
      </w:r>
    </w:p>
    <w:p>
      <w:pPr>
        <w:ind w:left="720"/>
        <w:spacing w:after="3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Embriopatie e fetopatie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Controllo della gravidanza, indagini specialistiche </w:t>
      </w:r>
    </w:p>
    <w:p>
      <w:pPr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LA PREVENZIONE DEL RISCHIO ALLA NASCITA 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Le fasi del parto 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I fattori di rischio del parto 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Indagini neonatali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Test di Apgar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Allattamento naturale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L’INFANZIA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LA NEUROPSICHIATRIA INFANTILE </w:t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Una Genitorialità consapevole</w:t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Disagio scolastico</w:t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Le paralisi cerebrali infantili </w:t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L’Autismo infantile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Tecniche d’indagine del SNC </w:t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Le epilessie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LA SENESCENZA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ASPETTI BIOLOGICI E DEMOGRAFICI DELL’INVECCHIAMENTO </w:t>
      </w:r>
    </w:p>
    <w:p>
      <w:pPr>
        <w:ind w:left="331" w:right="29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Invecchiamento e senescenza </w:t>
      </w:r>
    </w:p>
    <w:p>
      <w:pPr>
        <w:jc w:val="both"/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Modificazioni di organi e apparati nella senescenza </w:t>
      </w:r>
    </w:p>
    <w:p>
      <w:pPr>
        <w:jc w:val="both"/>
        <w:ind w:left="358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L’INVECCHIAMENTO CEREBRALE PATOLOGICO </w:t>
      </w:r>
    </w:p>
    <w:p>
      <w:pPr>
        <w:jc w:val="center"/>
        <w:ind w:left="331" w:right="29"/>
        <w:spacing w:after="2"/>
      </w:pPr>
      <w:r>
        <w:rPr>
          <w:rFonts w:ascii="Times New Roman" w:hAnsi="Times New Roman" w:cs="Times New Roman"/>
          <w:sz w:val="20"/>
          <w:sz-cs w:val="20"/>
        </w:rPr>
        <w:t xml:space="preserve">• • • </w:t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>•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Invecchiamento cerebrale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Demenze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Morbo di Alzheimer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Aspetti riabilitativi della demenza: la ROT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>• 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Morbo di Parkinson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>•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Interventi e servizi rivolti agli anziani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Malattie Cardiovascolari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Infezioni delle vie aeree e patologie polmonari.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LA DISABILITA’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LE MALATTIE EREDITARIE </w:t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>• </w:t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>•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Anomalie cromosomiche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Malattie metaboliche ereditarie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DISABILITÀ PSICHICA </w:t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>•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Sindrome di Down </w:t>
      </w:r>
    </w:p>
    <w:p>
      <w:pPr>
        <w:jc w:val="both"/>
        <w:ind w:left="360"/>
      </w:pPr>
      <w:r>
        <w:rPr>
          <w:rFonts w:ascii="Times New Roman" w:hAnsi="Times New Roman" w:cs="Times New Roman"/>
          <w:sz w:val="20"/>
          <w:sz-cs w:val="20"/>
        </w:rPr>
        <w:t xml:space="preserve">ATTIVITÀ DI RECUPERO E RIABILITAZIONE </w:t>
      </w:r>
    </w:p>
    <w:p>
      <w:pPr>
        <w:jc w:val="center"/>
        <w:ind w:left="252"/>
      </w:pPr>
      <w:r>
        <w:rPr>
          <w:rFonts w:ascii="Times New Roman" w:hAnsi="Times New Roman" w:cs="Times New Roman"/>
          <w:sz w:val="20"/>
          <w:sz-cs w:val="20"/>
        </w:rPr>
        <w:t xml:space="preserve">• </w:t>
      </w:r>
    </w:p>
    <w:p>
      <w:pPr>
        <w:jc w:val="both"/>
        <w:ind w:left="2"/>
      </w:pPr>
      <w:r>
        <w:rPr>
          <w:rFonts w:ascii="Times New Roman" w:hAnsi="Times New Roman" w:cs="Times New Roman"/>
          <w:sz w:val="20"/>
          <w:sz-cs w:val="20"/>
        </w:rPr>
        <w:t xml:space="preserve">Interventi e servizi rivolti ai diversamente abili e agli anziani. 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Educazione Civica 3 ore: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Protezione Civile;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Educazione Stradale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Volontariato.</w:t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</w:rPr>
        <w:t xml:space="preserve">Brindisi 10/06/2022</w:t>
      </w:r>
    </w:p>
    <w:p>
      <w:pPr>
        <w:ind w:left="504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left="5040"/>
      </w:pPr>
      <w:r>
        <w:rPr>
          <w:rFonts w:ascii="Times New Roman" w:hAnsi="Times New Roman" w:cs="Times New Roman"/>
          <w:sz w:val="20"/>
          <w:sz-cs w:val="20"/>
        </w:rPr>
        <w:t xml:space="preserve">                                                  La Docente</w:t>
      </w:r>
    </w:p>
    <w:p>
      <w:pPr>
        <w:ind w:left="4320"/>
      </w:pPr>
      <w:r>
        <w:rPr>
          <w:rFonts w:ascii="Times New Roman" w:hAnsi="Times New Roman" w:cs="Times New Roman"/>
          <w:sz w:val="20"/>
          <w:sz-cs w:val="20"/>
        </w:rPr>
        <w:t xml:space="preserve">                                                   Prof.ssa Madia Argentiero</w:t>
        <w:tab/>
        <w:t xml:space="preserve"/>
      </w:r>
    </w:p>
    <w:p>
      <w:pPr>
        <w:ind w:right="261"/>
        <w:spacing w:before="6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right="261"/>
        <w:spacing w:before="6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sectPr>
      <w:pgSz w:w="11905" w:h="16837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</cp:coreProperties>
</file>

<file path=docProps/meta.xml><?xml version="1.0" encoding="utf-8"?>
<meta xmlns="http://schemas.apple.com/cocoa/2006/metadata">
  <generator>CocoaOOXMLWriter/1894.7</generator>
</meta>
</file>